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5B8CE4">
      <w:pPr>
        <w:pStyle w:val="3"/>
        <w:tabs>
          <w:tab w:val="left" w:pos="1198"/>
        </w:tabs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附件2：</w:t>
      </w:r>
    </w:p>
    <w:p w14:paraId="1AC4CAD6">
      <w:pPr>
        <w:pStyle w:val="3"/>
        <w:ind w:firstLine="1297" w:firstLineChars="405"/>
        <w:rPr>
          <w:rFonts w:hint="default" w:eastAsia="等线"/>
          <w:lang w:val="en-US" w:eastAsia="zh-CN"/>
        </w:rPr>
      </w:pPr>
      <w:r>
        <w:rPr>
          <w:rFonts w:hint="eastAsia"/>
          <w:lang w:val="en-US" w:eastAsia="zh-CN"/>
        </w:rPr>
        <w:t>新西兰坎特伯雷大学短期访学项目（商科）</w:t>
      </w:r>
    </w:p>
    <w:p w14:paraId="3E00E746">
      <w:pPr>
        <w:pStyle w:val="3"/>
      </w:pPr>
      <w:r>
        <w:t>一、项目基本信息</w:t>
      </w:r>
    </w:p>
    <w:p w14:paraId="27280AFF">
      <w:pPr>
        <w:pStyle w:val="18"/>
        <w:numPr>
          <w:ilvl w:val="0"/>
          <w:numId w:val="1"/>
        </w:numPr>
      </w:pPr>
      <w:r>
        <w:rPr>
          <w:b/>
          <w:bCs/>
        </w:rPr>
        <w:t>项目周期</w:t>
      </w:r>
      <w:r>
        <w:t>：2026年7月</w:t>
      </w:r>
      <w:r>
        <w:rPr>
          <w:rFonts w:hint="eastAsia"/>
        </w:rPr>
        <w:t>13</w:t>
      </w:r>
      <w:r>
        <w:t>日-</w:t>
      </w:r>
      <w:r>
        <w:rPr>
          <w:rFonts w:hint="eastAsia"/>
        </w:rPr>
        <w:t>11</w:t>
      </w:r>
      <w:r>
        <w:t>月</w:t>
      </w:r>
      <w:r>
        <w:rPr>
          <w:rFonts w:hint="eastAsia"/>
        </w:rPr>
        <w:t>12</w:t>
      </w:r>
      <w:r>
        <w:t>日（在外停留</w:t>
      </w:r>
      <w:r>
        <w:rPr>
          <w:rFonts w:hint="eastAsia"/>
        </w:rPr>
        <w:t>4</w:t>
      </w:r>
      <w:r>
        <w:t>个月，具体时间可根据实际情况微调）</w:t>
      </w:r>
    </w:p>
    <w:p w14:paraId="5FA6DEF0">
      <w:pPr>
        <w:pStyle w:val="18"/>
        <w:numPr>
          <w:ilvl w:val="0"/>
          <w:numId w:val="1"/>
        </w:numPr>
      </w:pPr>
      <w:r>
        <w:rPr>
          <w:b/>
          <w:bCs/>
        </w:rPr>
        <w:t>招生对象</w:t>
      </w:r>
      <w:r>
        <w:t>：各高校全日制在籍本科生（优先选拔专业匹配度高的学生）</w:t>
      </w:r>
    </w:p>
    <w:p w14:paraId="16135835">
      <w:pPr>
        <w:pStyle w:val="18"/>
        <w:numPr>
          <w:ilvl w:val="0"/>
          <w:numId w:val="1"/>
        </w:numPr>
      </w:pPr>
      <w:r>
        <w:rPr>
          <w:b/>
          <w:bCs/>
        </w:rPr>
        <w:t>专业方向</w:t>
      </w:r>
      <w:r>
        <w:t>：</w:t>
      </w:r>
      <w:r>
        <w:rPr>
          <w:rFonts w:hint="eastAsia"/>
        </w:rPr>
        <w:t>会计学、金融学、工商管理/管理学、市场营销/国际贸易、商业分析/数据科学、运营与供应链管理、经济学等</w:t>
      </w:r>
    </w:p>
    <w:p w14:paraId="22D5D7FF">
      <w:pPr>
        <w:pStyle w:val="18"/>
        <w:numPr>
          <w:ilvl w:val="0"/>
          <w:numId w:val="1"/>
        </w:numPr>
      </w:pPr>
      <w:r>
        <w:rPr>
          <w:b/>
          <w:bCs/>
        </w:rPr>
        <w:t>成团要求</w:t>
      </w:r>
      <w:r>
        <w:t>：无最低成团人数限制，按实际报名人数正常实施</w:t>
      </w:r>
    </w:p>
    <w:p w14:paraId="3890B372">
      <w:pPr>
        <w:pStyle w:val="3"/>
      </w:pPr>
      <w:r>
        <w:t>二、项目内容及实施标准</w:t>
      </w:r>
    </w:p>
    <w:p w14:paraId="28445F48">
      <w:pPr>
        <w:pStyle w:val="18"/>
        <w:numPr>
          <w:ilvl w:val="0"/>
          <w:numId w:val="2"/>
        </w:numPr>
      </w:pPr>
      <w:r>
        <w:rPr>
          <w:b/>
          <w:bCs/>
        </w:rPr>
        <w:t>核心教学安排</w:t>
      </w:r>
      <w:r>
        <w:t>：采用英文授课与PBL（项目制学习）模式，内容涵盖</w:t>
      </w:r>
      <w:r>
        <w:rPr>
          <w:rFonts w:hint="eastAsia"/>
        </w:rPr>
        <w:t>坎大专业核心课程，</w:t>
      </w:r>
      <w:r>
        <w:t>前沿理论讲座、跨学科课题工作坊、学术研讨、小组课题研究、科研实训</w:t>
      </w:r>
      <w:r>
        <w:rPr>
          <w:rFonts w:hint="eastAsia"/>
        </w:rPr>
        <w:t>等</w:t>
      </w:r>
      <w:r>
        <w:t>。</w:t>
      </w:r>
    </w:p>
    <w:p w14:paraId="40A23852">
      <w:pPr>
        <w:pStyle w:val="18"/>
        <w:numPr>
          <w:ilvl w:val="0"/>
          <w:numId w:val="2"/>
        </w:numPr>
      </w:pPr>
      <w:r>
        <w:rPr>
          <w:b/>
          <w:bCs/>
        </w:rPr>
        <w:t>师资配置</w:t>
      </w:r>
      <w:r>
        <w:t>：授课团队由</w:t>
      </w:r>
      <w:r>
        <w:rPr>
          <w:rFonts w:hint="eastAsia"/>
        </w:rPr>
        <w:t>坎特伯雷</w:t>
      </w:r>
      <w:r>
        <w:t>大学</w:t>
      </w:r>
      <w:r>
        <w:rPr>
          <w:rFonts w:hint="eastAsia"/>
        </w:rPr>
        <w:t>教授</w:t>
      </w:r>
      <w:r>
        <w:t>、</w:t>
      </w:r>
      <w:r>
        <w:rPr>
          <w:rFonts w:hint="eastAsia"/>
        </w:rPr>
        <w:t>相关</w:t>
      </w:r>
      <w:r>
        <w:t>领域知名教授及资深研究员组成，外方将指派1名项目负责老师全程对接，统筹师资协调与教学管理，并与中方带队老师建立日常沟通机制。</w:t>
      </w:r>
    </w:p>
    <w:p w14:paraId="7F36C81B">
      <w:pPr>
        <w:pStyle w:val="18"/>
        <w:numPr>
          <w:ilvl w:val="0"/>
          <w:numId w:val="2"/>
        </w:numPr>
      </w:pPr>
      <w:r>
        <w:rPr>
          <w:b/>
          <w:bCs/>
        </w:rPr>
        <w:t>考核与认证</w:t>
      </w:r>
      <w:r>
        <w:t>：学员课程出席率需达到90%及以上，完成课</w:t>
      </w:r>
      <w:r>
        <w:rPr>
          <w:rFonts w:hint="eastAsia"/>
        </w:rPr>
        <w:t>程</w:t>
      </w:r>
      <w:r>
        <w:t>与考核后，可获得</w:t>
      </w:r>
      <w:r>
        <w:rPr>
          <w:rFonts w:hint="eastAsia"/>
        </w:rPr>
        <w:t>坎特伯雷大学颁发的学期课程学习证书及学期课程成绩单，回国后可换算学分。</w:t>
      </w:r>
    </w:p>
    <w:p w14:paraId="0CBFA022">
      <w:pPr>
        <w:pStyle w:val="3"/>
      </w:pPr>
      <w:r>
        <w:t>三、报名条件</w:t>
      </w:r>
    </w:p>
    <w:p w14:paraId="61DE21E0">
      <w:pPr>
        <w:pStyle w:val="18"/>
        <w:numPr>
          <w:ilvl w:val="0"/>
          <w:numId w:val="3"/>
        </w:numPr>
      </w:pPr>
      <w:r>
        <w:t>热爱祖国、遵纪守法、身心健康，无不良学术记录；</w:t>
      </w:r>
    </w:p>
    <w:p w14:paraId="0BF594C3">
      <w:pPr>
        <w:pStyle w:val="18"/>
        <w:numPr>
          <w:ilvl w:val="0"/>
          <w:numId w:val="3"/>
        </w:numPr>
      </w:pPr>
      <w:r>
        <w:t>学业成绩优秀，具备扎实的专业基础；</w:t>
      </w:r>
    </w:p>
    <w:p w14:paraId="53796AF8">
      <w:pPr>
        <w:pStyle w:val="18"/>
        <w:numPr>
          <w:ilvl w:val="0"/>
          <w:numId w:val="3"/>
        </w:numPr>
      </w:pPr>
      <w:r>
        <w:t>外语能力达标：大学英语四级540分及以上、六级520分及以上，或雅思</w:t>
      </w:r>
      <w:r>
        <w:rPr>
          <w:rFonts w:hint="eastAsia"/>
        </w:rPr>
        <w:t>5.5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单科5）或</w:t>
      </w:r>
      <w:r>
        <w:t>具备同等英语水平（需提供官方成绩证明）；</w:t>
      </w:r>
    </w:p>
    <w:p w14:paraId="3906A622">
      <w:pPr>
        <w:pStyle w:val="18"/>
        <w:numPr>
          <w:ilvl w:val="0"/>
          <w:numId w:val="3"/>
        </w:numPr>
      </w:pPr>
      <w:r>
        <w:t>服从项目统一安排，能按时完成前期准备、境外学习及后期总结任务。</w:t>
      </w:r>
    </w:p>
    <w:p w14:paraId="7B8779B8">
      <w:pPr>
        <w:pStyle w:val="3"/>
      </w:pPr>
      <w:r>
        <w:t>四、项目费用及支付说明</w:t>
      </w:r>
    </w:p>
    <w:p w14:paraId="19CFE4EF">
      <w:pPr>
        <w:pStyle w:val="4"/>
        <w:tabs>
          <w:tab w:val="center" w:pos="4513"/>
        </w:tabs>
        <w:rPr>
          <w:rFonts w:hint="eastAsia" w:eastAsia="等线"/>
          <w:lang w:eastAsia="zh-CN"/>
        </w:rPr>
      </w:pPr>
      <w:r>
        <w:t>（一）费用标准与包含范围</w:t>
      </w:r>
      <w:r>
        <w:rPr>
          <w:rFonts w:hint="eastAsia"/>
          <w:lang w:eastAsia="zh-CN"/>
        </w:rPr>
        <w:tab/>
      </w:r>
    </w:p>
    <w:p w14:paraId="4567512D">
      <w:pPr>
        <w:pStyle w:val="18"/>
        <w:numPr>
          <w:ilvl w:val="0"/>
          <w:numId w:val="4"/>
        </w:numPr>
      </w:pPr>
      <w:r>
        <w:rPr>
          <w:b/>
          <w:bCs/>
        </w:rPr>
        <w:t>项目服务费</w:t>
      </w:r>
      <w:r>
        <w:t>：</w:t>
      </w:r>
      <w:r>
        <w:rPr>
          <w:rFonts w:hint="eastAsia"/>
          <w:lang w:val="en-US" w:eastAsia="zh-CN"/>
        </w:rPr>
        <w:t>26330</w:t>
      </w:r>
      <w:r>
        <w:rPr>
          <w:rFonts w:hint="eastAsia"/>
        </w:rPr>
        <w:t>新币</w:t>
      </w:r>
    </w:p>
    <w:p w14:paraId="3A27154C">
      <w:pPr>
        <w:pStyle w:val="18"/>
        <w:numPr>
          <w:ilvl w:val="0"/>
          <w:numId w:val="4"/>
        </w:numPr>
      </w:pPr>
      <w:r>
        <w:rPr>
          <w:b/>
          <w:bCs/>
        </w:rPr>
        <w:t>费用包含</w:t>
      </w:r>
      <w:r>
        <w:t>：</w:t>
      </w:r>
      <w:r>
        <w:rPr>
          <w:rFonts w:hint="eastAsia"/>
          <w:lang w:val="en-US" w:eastAsia="zh-CN"/>
        </w:rPr>
        <w:t>学费、杂费、食宿、保险、课余实践及周边游；不包括往返机票、签证和个人费用。</w:t>
      </w:r>
    </w:p>
    <w:p w14:paraId="40C842FF">
      <w:pPr>
        <w:pStyle w:val="4"/>
        <w:numPr>
          <w:ilvl w:val="0"/>
          <w:numId w:val="5"/>
        </w:numPr>
      </w:pPr>
      <w:r>
        <w:t>支付方式</w:t>
      </w:r>
      <w:r>
        <w:rPr>
          <w:rFonts w:hint="eastAsia"/>
          <w:lang w:val="en-US" w:eastAsia="zh-CN"/>
        </w:rPr>
        <w:t>与要求</w:t>
      </w:r>
    </w:p>
    <w:p w14:paraId="65384E94">
      <w:pPr>
        <w:pStyle w:val="18"/>
        <w:numPr>
          <w:ilvl w:val="0"/>
          <w:numId w:val="6"/>
        </w:numPr>
      </w:pPr>
      <w:r>
        <w:t>支付时间：参训学生需于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</w:t>
      </w:r>
      <w:r>
        <w:t>前，将全额费用以银行电汇方式</w:t>
      </w:r>
    </w:p>
    <w:p w14:paraId="7180B827">
      <w:pPr>
        <w:widowControl/>
        <w:spacing w:line="360" w:lineRule="auto"/>
        <w:jc w:val="left"/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</w:pPr>
      <w:r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  <w:t xml:space="preserve">账户名称: </w:t>
      </w:r>
      <w:r>
        <w:rPr>
          <w:rFonts w:hint="eastAsia"/>
        </w:rPr>
        <w:t>I</w:t>
      </w:r>
      <w:r>
        <w:t xml:space="preserve">nternational Education Corporation </w:t>
      </w:r>
      <w:r>
        <w:rPr>
          <w:b/>
          <w:bCs/>
        </w:rPr>
        <w:t xml:space="preserve">NZ </w:t>
      </w:r>
      <w:r>
        <w:t>Limited</w:t>
      </w:r>
    </w:p>
    <w:p w14:paraId="43AABF3B">
      <w:pPr>
        <w:widowControl/>
        <w:spacing w:line="360" w:lineRule="auto"/>
        <w:jc w:val="left"/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</w:pPr>
      <w:r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  <w:t>银行名称：ANZ Bank New Zealand Limited, Riccarton Branch</w:t>
      </w:r>
    </w:p>
    <w:p w14:paraId="34B27C3B">
      <w:pPr>
        <w:widowControl/>
        <w:spacing w:line="360" w:lineRule="auto"/>
        <w:jc w:val="left"/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</w:pPr>
      <w:r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  <w:t>银行地址：97 Riccarton Road, Riccarton, Christchurch 8041, New Zealand</w:t>
      </w:r>
    </w:p>
    <w:p w14:paraId="31294CBC">
      <w:pPr>
        <w:widowControl/>
        <w:spacing w:line="360" w:lineRule="auto"/>
        <w:jc w:val="left"/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</w:pPr>
      <w:r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  <w:t>账号：01-0819-0242526-00</w:t>
      </w:r>
    </w:p>
    <w:p w14:paraId="1BA6D446">
      <w:pPr>
        <w:widowControl/>
        <w:spacing w:line="360" w:lineRule="auto"/>
        <w:jc w:val="left"/>
      </w:pPr>
      <w:r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  <w:t xml:space="preserve">SWIFT </w:t>
      </w:r>
      <w:r>
        <w:rPr>
          <w:rFonts w:hint="eastAsia" w:ascii="宋体" w:hAnsi="宋体" w:eastAsia="宋体" w:cs="Arial"/>
          <w:color w:val="000000"/>
          <w:kern w:val="0"/>
          <w:sz w:val="22"/>
          <w:szCs w:val="22"/>
          <w14:ligatures w14:val="none"/>
        </w:rPr>
        <w:t>交易</w:t>
      </w:r>
      <w:r>
        <w:rPr>
          <w:rFonts w:ascii="宋体" w:hAnsi="宋体" w:eastAsia="宋体" w:cs="Arial"/>
          <w:color w:val="000000"/>
          <w:kern w:val="0"/>
          <w:sz w:val="22"/>
          <w:szCs w:val="22"/>
          <w14:ligatures w14:val="none"/>
        </w:rPr>
        <w:t>代码：ANZBNZ22</w:t>
      </w:r>
    </w:p>
    <w:p w14:paraId="12041AC0">
      <w:pPr>
        <w:pStyle w:val="18"/>
        <w:numPr>
          <w:ilvl w:val="0"/>
          <w:numId w:val="6"/>
        </w:numPr>
      </w:pPr>
      <w:r>
        <w:t>发票开具：外方在收到项目费用后</w:t>
      </w:r>
      <w:r>
        <w:rPr>
          <w:rFonts w:hint="eastAsia"/>
        </w:rPr>
        <w:t>，</w:t>
      </w:r>
      <w:r>
        <w:t>可由所在高校统一向中心申请协助对接</w:t>
      </w:r>
      <w:r>
        <w:rPr>
          <w:rFonts w:hint="eastAsia"/>
        </w:rPr>
        <w:t>开具发票（invoice）</w:t>
      </w:r>
      <w:r>
        <w:t>。</w:t>
      </w:r>
    </w:p>
    <w:p w14:paraId="2C1CA802">
      <w:pPr>
        <w:pStyle w:val="4"/>
      </w:pPr>
      <w:r>
        <w:t>（三）退费规则</w:t>
      </w:r>
    </w:p>
    <w:p w14:paraId="61F3EB24">
      <w:pPr>
        <w:pStyle w:val="16"/>
        <w:numPr>
          <w:ilvl w:val="0"/>
          <w:numId w:val="7"/>
        </w:numPr>
        <w:rPr>
          <w:rFonts w:ascii="Arial" w:hAnsi="Arial" w:eastAsia="等线" w:cs="Arial"/>
          <w:sz w:val="22"/>
        </w:rPr>
      </w:pPr>
      <w:r>
        <w:rPr>
          <w:rFonts w:hint="eastAsia"/>
        </w:rPr>
        <w:t>项目实施阶段，</w:t>
      </w:r>
      <w:r>
        <w:rPr>
          <w:rFonts w:hint="eastAsia" w:ascii="Arial" w:hAnsi="Arial" w:eastAsia="等线" w:cs="Arial"/>
          <w:sz w:val="22"/>
        </w:rPr>
        <w:t>项目实施阶段，第一个月内学员因疾病或不可抗力无法参加项目，需至少提前3个工作日提交书面申请（附相关证明材料），经中心审核批准后，外方扣除已产生的费用（如预订住宿费、手续费等），退还剩余款项。第二个月开始，不接受任何理由的退费；</w:t>
      </w:r>
    </w:p>
    <w:p w14:paraId="2D3A3952">
      <w:pPr>
        <w:pStyle w:val="18"/>
        <w:numPr>
          <w:ilvl w:val="0"/>
          <w:numId w:val="7"/>
        </w:numPr>
      </w:pPr>
      <w:r>
        <w:t>因签证被拒导致无法参加项目的，学员需提供签证拒签证明，外方全额退还已支付费用（扣除手续费）；</w:t>
      </w:r>
    </w:p>
    <w:p w14:paraId="795F5241">
      <w:pPr>
        <w:pStyle w:val="18"/>
        <w:numPr>
          <w:ilvl w:val="0"/>
          <w:numId w:val="7"/>
        </w:numPr>
      </w:pPr>
      <w:r>
        <w:t>因学员个人原因（如自愿放弃、迟到缺考等）退出项目的，不予退费。</w:t>
      </w:r>
    </w:p>
    <w:p w14:paraId="1458C57A">
      <w:pPr>
        <w:pStyle w:val="3"/>
      </w:pPr>
      <w:r>
        <w:t>五、报名与选拔流程</w:t>
      </w:r>
    </w:p>
    <w:p w14:paraId="1EADF3DA">
      <w:pPr>
        <w:pStyle w:val="18"/>
        <w:numPr>
          <w:ilvl w:val="0"/>
          <w:numId w:val="8"/>
        </w:numPr>
      </w:pPr>
      <w:r>
        <w:rPr>
          <w:b/>
          <w:bCs/>
        </w:rPr>
        <w:t>校内报名</w:t>
      </w:r>
      <w:r>
        <w:t>：各高校根据本函要求，组织符合条件的学生报名，收集《2026年</w:t>
      </w:r>
      <w:r>
        <w:rPr>
          <w:rFonts w:hint="eastAsia"/>
        </w:rPr>
        <w:t>坎特伯雷</w:t>
      </w:r>
      <w:r>
        <w:t>大学短期访学项目报名表》（附件</w:t>
      </w:r>
      <w:r>
        <w:rPr>
          <w:rFonts w:hint="eastAsia"/>
          <w:lang w:val="en-US" w:eastAsia="zh-CN"/>
        </w:rPr>
        <w:t>3</w:t>
      </w:r>
      <w:r>
        <w:t>）、外语成绩证明、护照复印件</w:t>
      </w:r>
      <w:r>
        <w:rPr>
          <w:rFonts w:hint="eastAsia"/>
        </w:rPr>
        <w:t>、在读证明和成绩单</w:t>
      </w:r>
      <w:r>
        <w:t>等材料，完成校内资格初审；</w:t>
      </w:r>
    </w:p>
    <w:p w14:paraId="127F8E79">
      <w:pPr>
        <w:pStyle w:val="18"/>
        <w:numPr>
          <w:ilvl w:val="0"/>
          <w:numId w:val="8"/>
        </w:numPr>
      </w:pPr>
      <w:r>
        <w:rPr>
          <w:b/>
          <w:bCs/>
        </w:rPr>
        <w:t>材料报送</w:t>
      </w:r>
      <w:r>
        <w:t>：请各高校于2026年</w:t>
      </w:r>
      <w:r>
        <w:rPr>
          <w:rFonts w:hint="eastAsia"/>
          <w:lang w:val="en-US" w:eastAsia="zh-CN"/>
        </w:rPr>
        <w:t>4</w:t>
      </w:r>
      <w:r>
        <w:t>月</w:t>
      </w:r>
      <w:r>
        <w:rPr>
          <w:rFonts w:hint="eastAsia"/>
          <w:lang w:val="en-US" w:eastAsia="zh-CN"/>
        </w:rPr>
        <w:t>20</w:t>
      </w:r>
      <w:r>
        <w:t>日前，将《校内推荐学生汇总表》（附件</w:t>
      </w:r>
      <w:r>
        <w:rPr>
          <w:rFonts w:hint="eastAsia"/>
          <w:lang w:val="en-US" w:eastAsia="zh-CN"/>
        </w:rPr>
        <w:t>4</w:t>
      </w:r>
      <w:r>
        <w:t>）及学生个人材料（电子版打包）报送至中心；</w:t>
      </w:r>
    </w:p>
    <w:p w14:paraId="70DD3722">
      <w:pPr>
        <w:pStyle w:val="18"/>
        <w:numPr>
          <w:ilvl w:val="0"/>
          <w:numId w:val="8"/>
        </w:numPr>
      </w:pPr>
      <w:r>
        <w:rPr>
          <w:b/>
          <w:bCs/>
        </w:rPr>
        <w:t>联合选拔</w:t>
      </w:r>
      <w:r>
        <w:t>：中心联合外方合作机构对推荐学生进行审核，确定最终入选名单后，反馈至各高校；</w:t>
      </w:r>
    </w:p>
    <w:p w14:paraId="2435250D">
      <w:pPr>
        <w:pStyle w:val="18"/>
        <w:numPr>
          <w:ilvl w:val="0"/>
          <w:numId w:val="8"/>
        </w:numPr>
      </w:pPr>
      <w:r>
        <w:rPr>
          <w:b/>
          <w:bCs/>
        </w:rPr>
        <w:t>外方确认</w:t>
      </w:r>
      <w:r>
        <w:t>：入选学生按要求提交外方所需材料，由外方发放正式邀请信</w:t>
      </w:r>
      <w:r>
        <w:rPr>
          <w:rFonts w:hint="eastAsia"/>
        </w:rPr>
        <w:t>或通知书</w:t>
      </w:r>
      <w:r>
        <w:t>；</w:t>
      </w:r>
    </w:p>
    <w:p w14:paraId="3AC09D7C">
      <w:pPr>
        <w:pStyle w:val="18"/>
        <w:numPr>
          <w:ilvl w:val="0"/>
          <w:numId w:val="8"/>
        </w:numPr>
      </w:pPr>
      <w:r>
        <w:rPr>
          <w:b/>
          <w:bCs/>
        </w:rPr>
        <w:t>手续办理</w:t>
      </w:r>
      <w:r>
        <w:t>：学生</w:t>
      </w:r>
      <w:r>
        <w:rPr>
          <w:rFonts w:hint="eastAsia"/>
        </w:rPr>
        <w:t>自行</w:t>
      </w:r>
      <w:r>
        <w:t>办理护照、签证等手续</w:t>
      </w:r>
      <w:r>
        <w:rPr>
          <w:rFonts w:hint="eastAsia"/>
        </w:rPr>
        <w:t>（如有需要，外方可协助办理学生签证，费用自理）</w:t>
      </w:r>
      <w:r>
        <w:t>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957823"/>
    <w:multiLevelType w:val="singleLevel"/>
    <w:tmpl w:val="A495782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EDF9D72"/>
    <w:multiLevelType w:val="multilevel"/>
    <w:tmpl w:val="BEDF9D72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EFBFC4A2"/>
    <w:multiLevelType w:val="multilevel"/>
    <w:tmpl w:val="EFBFC4A2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FDDF3B3B"/>
    <w:multiLevelType w:val="multilevel"/>
    <w:tmpl w:val="FDDF3B3B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5F7442B3"/>
    <w:multiLevelType w:val="multilevel"/>
    <w:tmpl w:val="5F7442B3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653C740E"/>
    <w:multiLevelType w:val="multilevel"/>
    <w:tmpl w:val="653C740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6">
    <w:nsid w:val="7F7A3949"/>
    <w:multiLevelType w:val="multilevel"/>
    <w:tmpl w:val="7F7A3949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7">
    <w:nsid w:val="7FEBAE2D"/>
    <w:multiLevelType w:val="multilevel"/>
    <w:tmpl w:val="7FEBAE2D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7"/>
  </w:num>
  <w:num w:numId="5">
    <w:abstractNumId w:val="0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442"/>
    <w:rsid w:val="0025495E"/>
    <w:rsid w:val="00565442"/>
    <w:rsid w:val="006258AC"/>
    <w:rsid w:val="00732AAD"/>
    <w:rsid w:val="00897B5C"/>
    <w:rsid w:val="00921BC5"/>
    <w:rsid w:val="00B87A5D"/>
    <w:rsid w:val="00C3377A"/>
    <w:rsid w:val="00C7370C"/>
    <w:rsid w:val="00CE69B8"/>
    <w:rsid w:val="00D07D15"/>
    <w:rsid w:val="00EC650F"/>
    <w:rsid w:val="00F46F25"/>
    <w:rsid w:val="00F6119B"/>
    <w:rsid w:val="00FB4442"/>
    <w:rsid w:val="015E4AD6"/>
    <w:rsid w:val="08A74FB5"/>
    <w:rsid w:val="09A052FF"/>
    <w:rsid w:val="0E5772DA"/>
    <w:rsid w:val="0E601ECD"/>
    <w:rsid w:val="0E835B7C"/>
    <w:rsid w:val="2D7C3A6A"/>
    <w:rsid w:val="31A11811"/>
    <w:rsid w:val="36495138"/>
    <w:rsid w:val="368D6CE8"/>
    <w:rsid w:val="3961360B"/>
    <w:rsid w:val="3C964B49"/>
    <w:rsid w:val="3EB76FF8"/>
    <w:rsid w:val="49441489"/>
    <w:rsid w:val="4CDD5673"/>
    <w:rsid w:val="4F8D7154"/>
    <w:rsid w:val="5AE87E93"/>
    <w:rsid w:val="5BE865EB"/>
    <w:rsid w:val="65C71020"/>
    <w:rsid w:val="6C421224"/>
    <w:rsid w:val="73897A78"/>
    <w:rsid w:val="775F08B4"/>
    <w:rsid w:val="7B921E5F"/>
    <w:rsid w:val="7BF3E807"/>
    <w:rsid w:val="BEF7FE94"/>
    <w:rsid w:val="DDE5F44B"/>
    <w:rsid w:val="DFB301B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qFormat="1" w:uiPriority="99" w:name="footnote text"/>
    <w:lsdException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qFormat="1" w:uiPriority="99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2">
    <w:name w:val="heading 1"/>
    <w:qFormat/>
    <w:uiPriority w:val="0"/>
    <w:pPr>
      <w:spacing w:before="380" w:after="140" w:line="288" w:lineRule="auto"/>
      <w:outlineLvl w:val="0"/>
    </w:pPr>
    <w:rPr>
      <w:rFonts w:ascii="Arial" w:hAnsi="Arial" w:eastAsia="等线" w:cs="Arial"/>
      <w:b/>
      <w:bCs/>
      <w:sz w:val="36"/>
      <w:szCs w:val="36"/>
      <w:lang w:val="en-US" w:eastAsia="zh-CN" w:bidi="ar-SA"/>
    </w:rPr>
  </w:style>
  <w:style w:type="paragraph" w:styleId="3">
    <w:name w:val="heading 2"/>
    <w:qFormat/>
    <w:uiPriority w:val="0"/>
    <w:pPr>
      <w:spacing w:before="320" w:after="120" w:line="288" w:lineRule="auto"/>
      <w:outlineLvl w:val="1"/>
    </w:pPr>
    <w:rPr>
      <w:rFonts w:ascii="Arial" w:hAnsi="Arial" w:eastAsia="等线" w:cs="Arial"/>
      <w:b/>
      <w:bCs/>
      <w:sz w:val="32"/>
      <w:szCs w:val="32"/>
      <w:lang w:val="en-US" w:eastAsia="zh-CN" w:bidi="ar-SA"/>
    </w:rPr>
  </w:style>
  <w:style w:type="paragraph" w:styleId="4">
    <w:name w:val="heading 3"/>
    <w:qFormat/>
    <w:uiPriority w:val="0"/>
    <w:pPr>
      <w:spacing w:before="300" w:after="120" w:line="288" w:lineRule="auto"/>
      <w:outlineLvl w:val="2"/>
    </w:pPr>
    <w:rPr>
      <w:rFonts w:ascii="Arial" w:hAnsi="Arial" w:eastAsia="等线" w:cs="Arial"/>
      <w:b/>
      <w:bCs/>
      <w:sz w:val="30"/>
      <w:szCs w:val="30"/>
      <w:lang w:val="en-US" w:eastAsia="zh-CN" w:bidi="ar-SA"/>
    </w:rPr>
  </w:style>
  <w:style w:type="paragraph" w:styleId="5">
    <w:name w:val="heading 4"/>
    <w:qFormat/>
    <w:uiPriority w:val="0"/>
    <w:pPr>
      <w:spacing w:before="260" w:after="120" w:line="288" w:lineRule="auto"/>
      <w:outlineLvl w:val="3"/>
    </w:pPr>
    <w:rPr>
      <w:rFonts w:ascii="Arial" w:hAnsi="Arial" w:eastAsia="等线" w:cs="Arial"/>
      <w:b/>
      <w:bCs/>
      <w:sz w:val="28"/>
      <w:szCs w:val="28"/>
      <w:lang w:val="en-US" w:eastAsia="zh-CN" w:bidi="ar-SA"/>
    </w:rPr>
  </w:style>
  <w:style w:type="paragraph" w:styleId="6">
    <w:name w:val="heading 5"/>
    <w:qFormat/>
    <w:uiPriority w:val="0"/>
    <w:pPr>
      <w:spacing w:before="240" w:after="120" w:line="288" w:lineRule="auto"/>
      <w:outlineLvl w:val="4"/>
    </w:pPr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paragraph" w:styleId="7">
    <w:name w:val="heading 6"/>
    <w:qFormat/>
    <w:uiPriority w:val="0"/>
    <w:pPr>
      <w:spacing w:before="240" w:after="120" w:line="288" w:lineRule="auto"/>
      <w:outlineLvl w:val="5"/>
    </w:pPr>
    <w:rPr>
      <w:rFonts w:ascii="Arial" w:hAnsi="Arial" w:eastAsia="等线" w:cs="Arial"/>
      <w:b/>
      <w:bCs/>
      <w:sz w:val="24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footnote text"/>
    <w:link w:val="17"/>
    <w:semiHidden/>
    <w:unhideWhenUsed/>
    <w:qFormat/>
    <w:uiPriority w:val="99"/>
    <w:rPr>
      <w:rFonts w:asciiTheme="minorHAnsi" w:hAnsiTheme="minorHAnsi" w:eastAsiaTheme="minorEastAsia" w:cstheme="minorBidi"/>
      <w:lang w:val="en-US" w:eastAsia="zh-CN" w:bidi="ar-SA"/>
    </w:rPr>
  </w:style>
  <w:style w:type="paragraph" w:styleId="11">
    <w:name w:val="Title"/>
    <w:qFormat/>
    <w:uiPriority w:val="0"/>
    <w:pPr>
      <w:spacing w:before="480" w:after="480" w:line="288" w:lineRule="auto"/>
    </w:pPr>
    <w:rPr>
      <w:rFonts w:ascii="Arial" w:hAnsi="Arial" w:eastAsia="等线" w:cs="Arial"/>
      <w:b/>
      <w:bCs/>
      <w:sz w:val="52"/>
      <w:szCs w:val="52"/>
      <w:lang w:val="en-US" w:eastAsia="zh-CN" w:bidi="ar-SA"/>
    </w:rPr>
  </w:style>
  <w:style w:type="character" w:styleId="14">
    <w:name w:val="Hyperlink"/>
    <w:unhideWhenUsed/>
    <w:qFormat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styleId="16">
    <w:name w:val="List Paragraph"/>
    <w:qFormat/>
    <w:uiPriority w:val="0"/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customStyle="1" w:styleId="17">
    <w:name w:val="脚注文本 字符"/>
    <w:link w:val="10"/>
    <w:semiHidden/>
    <w:unhideWhenUsed/>
    <w:qFormat/>
    <w:uiPriority w:val="99"/>
    <w:rPr>
      <w:sz w:val="20"/>
      <w:szCs w:val="20"/>
    </w:rPr>
  </w:style>
  <w:style w:type="paragraph" w:customStyle="1" w:styleId="18">
    <w:name w:val="_Style 13"/>
    <w:qFormat/>
    <w:uiPriority w:val="0"/>
    <w:pPr>
      <w:spacing w:before="120" w:after="120" w:line="288" w:lineRule="auto"/>
    </w:pPr>
    <w:rPr>
      <w:rFonts w:ascii="Arial" w:hAnsi="Arial" w:eastAsia="等线" w:cs="Arial"/>
      <w:sz w:val="22"/>
      <w:szCs w:val="22"/>
      <w:lang w:val="en-US" w:eastAsia="zh-CN" w:bidi="ar-SA"/>
    </w:rPr>
  </w:style>
  <w:style w:type="paragraph" w:customStyle="1" w:styleId="19">
    <w:name w:val="_Style 14"/>
    <w:qFormat/>
    <w:uiPriority w:val="0"/>
    <w:pPr>
      <w:spacing w:before="120" w:after="120" w:line="288" w:lineRule="auto"/>
    </w:pPr>
    <w:rPr>
      <w:rFonts w:ascii="Arial" w:hAnsi="Arial" w:eastAsia="等线" w:cs="Arial"/>
      <w:color w:val="8F959E"/>
      <w:sz w:val="22"/>
      <w:szCs w:val="22"/>
      <w:lang w:val="en-US" w:eastAsia="zh-CN" w:bidi="ar-SA"/>
    </w:rPr>
  </w:style>
  <w:style w:type="character" w:customStyle="1" w:styleId="20">
    <w:name w:val="页眉 字符"/>
    <w:basedOn w:val="13"/>
    <w:link w:val="9"/>
    <w:qFormat/>
    <w:uiPriority w:val="99"/>
    <w:rPr>
      <w:sz w:val="18"/>
      <w:szCs w:val="18"/>
    </w:rPr>
  </w:style>
  <w:style w:type="character" w:customStyle="1" w:styleId="21">
    <w:name w:val="页脚 字符"/>
    <w:basedOn w:val="13"/>
    <w:link w:val="8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1223</Words>
  <Characters>1401</Characters>
  <Lines>51</Lines>
  <Paragraphs>31</Paragraphs>
  <TotalTime>2</TotalTime>
  <ScaleCrop>false</ScaleCrop>
  <LinksUpToDate>false</LinksUpToDate>
  <CharactersWithSpaces>1421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2026-03-13T03:08:00Z</dcterms:created>
  <dc:creator>Un-named</dc:creator>
  <cp:lastModifiedBy>黄小包</cp:lastModifiedBy>
  <cp:lastPrinted>2026-03-13T06:24:00Z</cp:lastPrinted>
  <dcterms:modified xsi:type="dcterms:W3CDTF">2026-03-30T02:58:26Z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55FF053726D61CDA210C83694FC1299D_42</vt:lpwstr>
  </property>
  <property fmtid="{D5CDD505-2E9C-101B-9397-08002B2CF9AE}" pid="4" name="KSOTemplateDocerSaveRecord">
    <vt:lpwstr>eyJoZGlkIjoiZDY4ZDBiYjBlZjM2YWQxNmYxNjEyNDUyNzRiYjkxZTEiLCJ1c2VySWQiOiI4MjYxNzEwMzEifQ==</vt:lpwstr>
  </property>
</Properties>
</file>